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66365">
      <w:pPr>
        <w:spacing w:line="480" w:lineRule="auto"/>
        <w:jc w:val="center"/>
        <w:rPr>
          <w:rFonts w:hint="eastAsia" w:ascii="宋体" w:hAns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上海理工大学高等学历继续教育</w:t>
      </w:r>
    </w:p>
    <w:p w14:paraId="11B865BA">
      <w:pPr>
        <w:spacing w:line="480" w:lineRule="auto"/>
        <w:jc w:val="center"/>
        <w:rPr>
          <w:rFonts w:hint="default" w:ascii="宋体" w:hAnsi="宋体" w:eastAsia="宋体"/>
          <w:b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color w:val="000000"/>
          <w:sz w:val="44"/>
          <w:szCs w:val="44"/>
        </w:rPr>
        <w:t>课程思政示范课程建设项目评选方案</w:t>
      </w:r>
    </w:p>
    <w:tbl>
      <w:tblPr>
        <w:tblStyle w:val="7"/>
        <w:tblW w:w="492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447"/>
        <w:gridCol w:w="4725"/>
        <w:gridCol w:w="1408"/>
      </w:tblGrid>
      <w:tr w14:paraId="36EEE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40" w:type="dxa"/>
            <w:vAlign w:val="center"/>
          </w:tcPr>
          <w:p w14:paraId="4D6628BC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一级指标</w:t>
            </w:r>
          </w:p>
        </w:tc>
        <w:tc>
          <w:tcPr>
            <w:tcW w:w="1447" w:type="dxa"/>
            <w:vAlign w:val="center"/>
          </w:tcPr>
          <w:p w14:paraId="63358871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二级指标</w:t>
            </w:r>
          </w:p>
        </w:tc>
        <w:tc>
          <w:tcPr>
            <w:tcW w:w="4725" w:type="dxa"/>
            <w:vAlign w:val="center"/>
          </w:tcPr>
          <w:p w14:paraId="17C03038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评价标准</w:t>
            </w:r>
          </w:p>
        </w:tc>
        <w:tc>
          <w:tcPr>
            <w:tcW w:w="1408" w:type="dxa"/>
            <w:vAlign w:val="center"/>
          </w:tcPr>
          <w:p w14:paraId="43068DAA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分值</w:t>
            </w:r>
          </w:p>
        </w:tc>
      </w:tr>
      <w:tr w14:paraId="6E360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1340" w:type="dxa"/>
            <w:vMerge w:val="restart"/>
            <w:vAlign w:val="center"/>
          </w:tcPr>
          <w:p w14:paraId="19A159F2">
            <w:pPr>
              <w:jc w:val="center"/>
              <w:rPr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1.课程团队(</w:t>
            </w:r>
            <w:r>
              <w:rPr>
                <w:rFonts w:hint="eastAsia" w:ascii="宋体" w:hAnsi="宋体" w:cs="宋体"/>
                <w:b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/>
                <w:szCs w:val="24"/>
              </w:rPr>
              <w:t>分)</w:t>
            </w:r>
          </w:p>
        </w:tc>
        <w:tc>
          <w:tcPr>
            <w:tcW w:w="1447" w:type="dxa"/>
            <w:vAlign w:val="center"/>
          </w:tcPr>
          <w:p w14:paraId="5E0455E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课程负责人</w:t>
            </w:r>
          </w:p>
        </w:tc>
        <w:tc>
          <w:tcPr>
            <w:tcW w:w="4725" w:type="dxa"/>
          </w:tcPr>
          <w:p w14:paraId="67607993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具备良好的师德师风，政治立场坚定，坚持以习近平新时代中国特色社会主义思想为指导，忠诚人民教育事业，坚持以德立身、以德立学、以德施教、以德育德，为人师表，师德高尚。善于提炼课程中蕴含的育人因素，教学经验丰富、教学成果突出。</w:t>
            </w:r>
          </w:p>
        </w:tc>
        <w:tc>
          <w:tcPr>
            <w:tcW w:w="1408" w:type="dxa"/>
            <w:vAlign w:val="center"/>
          </w:tcPr>
          <w:p w14:paraId="7B24E380">
            <w:pPr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10分</w:t>
            </w:r>
          </w:p>
        </w:tc>
      </w:tr>
      <w:tr w14:paraId="5AAC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04DDC048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4A262E92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教学团队</w:t>
            </w:r>
          </w:p>
        </w:tc>
        <w:tc>
          <w:tcPr>
            <w:tcW w:w="4725" w:type="dxa"/>
          </w:tcPr>
          <w:p w14:paraId="35D57B85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教学团队结构合理，均承担了实质教学任务。团队成员具备课程思政意识和能力，积极参与课程思政教学改革，建立课程思政集体备课和教研制度，探索课程思政建设新路径。</w:t>
            </w:r>
          </w:p>
        </w:tc>
        <w:tc>
          <w:tcPr>
            <w:tcW w:w="1408" w:type="dxa"/>
            <w:vAlign w:val="center"/>
          </w:tcPr>
          <w:p w14:paraId="59F0670B">
            <w:pPr>
              <w:jc w:val="center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4"/>
              </w:rPr>
              <w:t>分</w:t>
            </w:r>
          </w:p>
        </w:tc>
      </w:tr>
      <w:tr w14:paraId="715F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restart"/>
            <w:vAlign w:val="center"/>
          </w:tcPr>
          <w:p w14:paraId="0D4FB4CA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2.教学内容(3</w:t>
            </w:r>
            <w:r>
              <w:rPr>
                <w:rFonts w:hint="eastAsia" w:ascii="宋体" w:hAnsi="宋体" w:cs="宋体"/>
                <w:b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szCs w:val="24"/>
              </w:rPr>
              <w:t>分)</w:t>
            </w:r>
          </w:p>
        </w:tc>
        <w:tc>
          <w:tcPr>
            <w:tcW w:w="1447" w:type="dxa"/>
            <w:vAlign w:val="center"/>
          </w:tcPr>
          <w:p w14:paraId="45D773F0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课程目标</w:t>
            </w:r>
          </w:p>
        </w:tc>
        <w:tc>
          <w:tcPr>
            <w:tcW w:w="4725" w:type="dxa"/>
            <w:vAlign w:val="center"/>
          </w:tcPr>
          <w:p w14:paraId="75878DC2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课程目标能</w:t>
            </w:r>
            <w:r>
              <w:rPr>
                <w:rFonts w:hint="eastAsia"/>
                <w:szCs w:val="24"/>
              </w:rPr>
              <w:t>根据课程性质、特点及授课对象等，制定明确的课程思政教学目标，</w:t>
            </w:r>
            <w:r>
              <w:rPr>
                <w:rFonts w:hint="eastAsia" w:ascii="宋体" w:hAnsi="宋体" w:cs="仿宋_GB2312"/>
                <w:szCs w:val="24"/>
              </w:rPr>
              <w:t>价值引领目标符合高等学历继续教育人才培养要求，特色鲜明</w:t>
            </w:r>
            <w:r>
              <w:rPr>
                <w:rFonts w:hint="eastAsia" w:ascii="宋体" w:hAnsi="宋体" w:cs="宋体"/>
                <w:szCs w:val="24"/>
              </w:rPr>
              <w:t>。</w:t>
            </w:r>
          </w:p>
        </w:tc>
        <w:tc>
          <w:tcPr>
            <w:tcW w:w="1408" w:type="dxa"/>
            <w:vAlign w:val="center"/>
          </w:tcPr>
          <w:p w14:paraId="6C5647EE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0589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6E899FE7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30C8459F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课程设计</w:t>
            </w:r>
          </w:p>
        </w:tc>
        <w:tc>
          <w:tcPr>
            <w:tcW w:w="4725" w:type="dxa"/>
            <w:vAlign w:val="center"/>
          </w:tcPr>
          <w:p w14:paraId="0E23C366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能</w:t>
            </w:r>
            <w:r>
              <w:rPr>
                <w:rFonts w:hint="eastAsia" w:ascii="宋体" w:hAnsi="宋体" w:cs="仿宋_GB2312"/>
                <w:szCs w:val="24"/>
              </w:rPr>
              <w:t>根据授课目标、教材内容等教学要素，充分考虑成人在职学习的特点，找准课程思政切入点；</w:t>
            </w:r>
            <w:r>
              <w:rPr>
                <w:rFonts w:hint="eastAsia"/>
                <w:szCs w:val="24"/>
              </w:rPr>
              <w:t>在课堂讲授、教学研讨、实验实训、考核评价等各环节能有机融入课程思政的理念和元素，做到恰当合理、不生硬。</w:t>
            </w:r>
          </w:p>
        </w:tc>
        <w:tc>
          <w:tcPr>
            <w:tcW w:w="1408" w:type="dxa"/>
            <w:vAlign w:val="center"/>
          </w:tcPr>
          <w:p w14:paraId="0D0BE358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52AD5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2DCA5196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45A8B80A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课程资源</w:t>
            </w:r>
          </w:p>
        </w:tc>
        <w:tc>
          <w:tcPr>
            <w:tcW w:w="4725" w:type="dxa"/>
            <w:vAlign w:val="center"/>
          </w:tcPr>
          <w:p w14:paraId="74A93B96">
            <w:pPr>
              <w:snapToGrid w:val="0"/>
              <w:rPr>
                <w:rFonts w:ascii="宋体" w:hAnsi="宋体" w:cs="仿宋"/>
                <w:szCs w:val="24"/>
              </w:rPr>
            </w:pPr>
            <w:r>
              <w:rPr>
                <w:rFonts w:hint="eastAsia"/>
                <w:szCs w:val="24"/>
              </w:rPr>
              <w:t>注重挖掘和开拓与本课程紧密相关的课程思政资源，形成丰富的课程思政资源库；</w:t>
            </w:r>
            <w:r>
              <w:rPr>
                <w:rFonts w:hint="eastAsia" w:ascii="宋体" w:hAnsi="宋体" w:cs="仿宋_GB2312"/>
                <w:szCs w:val="24"/>
              </w:rPr>
              <w:t>能从</w:t>
            </w:r>
            <w:r>
              <w:rPr>
                <w:rFonts w:hint="eastAsia" w:ascii="宋体" w:hAnsi="宋体" w:cs="仿宋"/>
                <w:szCs w:val="24"/>
              </w:rPr>
              <w:t>最新国家时政要点、社会时事热点</w:t>
            </w:r>
            <w:r>
              <w:rPr>
                <w:rFonts w:hint="eastAsia" w:ascii="宋体" w:hAnsi="宋体" w:cs="仿宋"/>
                <w:szCs w:val="24"/>
                <w:lang w:eastAsia="zh-CN"/>
              </w:rPr>
              <w:t>、</w:t>
            </w:r>
            <w:r>
              <w:rPr>
                <w:rFonts w:hint="eastAsia" w:ascii="宋体" w:hAnsi="宋体" w:cs="仿宋"/>
                <w:szCs w:val="24"/>
                <w:lang w:val="en-US" w:eastAsia="zh-CN"/>
              </w:rPr>
              <w:t>改革实践成果</w:t>
            </w:r>
            <w:r>
              <w:rPr>
                <w:rFonts w:hint="eastAsia" w:ascii="宋体" w:hAnsi="宋体" w:cs="仿宋"/>
                <w:szCs w:val="24"/>
              </w:rPr>
              <w:t>等内容中</w:t>
            </w:r>
            <w:r>
              <w:rPr>
                <w:rFonts w:hint="eastAsia" w:ascii="宋体" w:hAnsi="宋体" w:cs="仿宋_GB2312"/>
                <w:szCs w:val="24"/>
              </w:rPr>
              <w:t>精选</w:t>
            </w:r>
            <w:r>
              <w:rPr>
                <w:rFonts w:hint="eastAsia" w:ascii="宋体" w:hAnsi="宋体" w:cs="仿宋_GB2312"/>
                <w:szCs w:val="24"/>
                <w:lang w:val="en-US" w:eastAsia="zh-CN"/>
              </w:rPr>
              <w:t>契合时代特征、推进经济社会高质量发展、体现专业特色的教育素材；</w:t>
            </w:r>
            <w:r>
              <w:rPr>
                <w:rFonts w:hint="eastAsia"/>
                <w:szCs w:val="24"/>
              </w:rPr>
              <w:t>编写和选用高质量配套教材</w:t>
            </w:r>
            <w:r>
              <w:rPr>
                <w:rFonts w:hint="eastAsia" w:ascii="宋体" w:hAnsi="宋体" w:cs="仿宋_GB2312"/>
                <w:szCs w:val="24"/>
              </w:rPr>
              <w:t>。</w:t>
            </w:r>
          </w:p>
        </w:tc>
        <w:tc>
          <w:tcPr>
            <w:tcW w:w="1408" w:type="dxa"/>
            <w:vAlign w:val="center"/>
          </w:tcPr>
          <w:p w14:paraId="1B5FCF2C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szCs w:val="24"/>
              </w:rPr>
              <w:t>分</w:t>
            </w:r>
          </w:p>
        </w:tc>
      </w:tr>
      <w:tr w14:paraId="7503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restart"/>
            <w:vAlign w:val="center"/>
          </w:tcPr>
          <w:p w14:paraId="7C1DE634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3.教学改革(30分)</w:t>
            </w:r>
          </w:p>
        </w:tc>
        <w:tc>
          <w:tcPr>
            <w:tcW w:w="1447" w:type="dxa"/>
            <w:vAlign w:val="center"/>
          </w:tcPr>
          <w:p w14:paraId="22155E31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教学方法</w:t>
            </w:r>
          </w:p>
        </w:tc>
        <w:tc>
          <w:tcPr>
            <w:tcW w:w="4725" w:type="dxa"/>
            <w:vAlign w:val="center"/>
          </w:tcPr>
          <w:p w14:paraId="28CB36AC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/>
                <w:szCs w:val="24"/>
              </w:rPr>
              <w:t>注重课程思政教学方法多样化，采取启发式、研究性、案例式、PBL 等教学方法帮助学生树立正确的世界观、人生观和价值观。</w:t>
            </w:r>
          </w:p>
        </w:tc>
        <w:tc>
          <w:tcPr>
            <w:tcW w:w="1408" w:type="dxa"/>
            <w:vAlign w:val="center"/>
          </w:tcPr>
          <w:p w14:paraId="16FD3928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34B0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3FA03896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00A7AD3C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教学手段</w:t>
            </w:r>
          </w:p>
        </w:tc>
        <w:tc>
          <w:tcPr>
            <w:tcW w:w="4725" w:type="dxa"/>
            <w:vAlign w:val="center"/>
          </w:tcPr>
          <w:p w14:paraId="3BAD8900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/>
                <w:szCs w:val="24"/>
              </w:rPr>
              <w:t>推动课程思政与现代教育技术深度融合，创新思政元素展现形式，增强课程思政的亲和力和针对性。</w:t>
            </w:r>
          </w:p>
        </w:tc>
        <w:tc>
          <w:tcPr>
            <w:tcW w:w="1408" w:type="dxa"/>
            <w:vAlign w:val="center"/>
          </w:tcPr>
          <w:p w14:paraId="0B6D934E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262F2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1DF017BC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1ECB57D9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课程考核</w:t>
            </w:r>
          </w:p>
        </w:tc>
        <w:tc>
          <w:tcPr>
            <w:tcW w:w="4725" w:type="dxa"/>
            <w:vAlign w:val="center"/>
          </w:tcPr>
          <w:p w14:paraId="79F5DD6B">
            <w:pPr>
              <w:rPr>
                <w:rFonts w:ascii="宋体" w:hAnsi="宋体" w:cs="宋体"/>
                <w:szCs w:val="24"/>
              </w:rPr>
            </w:pPr>
            <w:r>
              <w:rPr>
                <w:rFonts w:hint="eastAsia"/>
                <w:szCs w:val="24"/>
              </w:rPr>
              <w:t>课程思政元素充分融入过程考核和最终考核所涵盖的知识、能力与素质中。</w:t>
            </w:r>
          </w:p>
        </w:tc>
        <w:tc>
          <w:tcPr>
            <w:tcW w:w="1408" w:type="dxa"/>
            <w:vAlign w:val="center"/>
          </w:tcPr>
          <w:p w14:paraId="683C5DE9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51C5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restart"/>
            <w:vAlign w:val="center"/>
          </w:tcPr>
          <w:p w14:paraId="606E3F63"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4.教学成效（20分）</w:t>
            </w:r>
          </w:p>
        </w:tc>
        <w:tc>
          <w:tcPr>
            <w:tcW w:w="1447" w:type="dxa"/>
            <w:vAlign w:val="center"/>
          </w:tcPr>
          <w:p w14:paraId="008297E7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督导、同行、学生评价</w:t>
            </w:r>
          </w:p>
        </w:tc>
        <w:tc>
          <w:tcPr>
            <w:tcW w:w="4725" w:type="dxa"/>
            <w:vAlign w:val="center"/>
          </w:tcPr>
          <w:p w14:paraId="2D0A31B7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/>
                <w:szCs w:val="24"/>
              </w:rPr>
              <w:t>督导评价优秀，同行认可度高，学生对教师师德师风评价高，学习满意度高，评教效果好。</w:t>
            </w:r>
            <w:r>
              <w:rPr>
                <w:rFonts w:hint="eastAsia" w:ascii="宋体" w:hAnsi="宋体" w:cs="仿宋_GB2312"/>
                <w:szCs w:val="24"/>
              </w:rPr>
              <w:t xml:space="preserve"> </w:t>
            </w:r>
          </w:p>
        </w:tc>
        <w:tc>
          <w:tcPr>
            <w:tcW w:w="1408" w:type="dxa"/>
            <w:vAlign w:val="center"/>
          </w:tcPr>
          <w:p w14:paraId="7B22072E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  <w:tr w14:paraId="24B9F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0" w:type="dxa"/>
            <w:vMerge w:val="continue"/>
          </w:tcPr>
          <w:p w14:paraId="69317C27">
            <w:pPr>
              <w:spacing w:line="520" w:lineRule="exact"/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447" w:type="dxa"/>
            <w:vAlign w:val="center"/>
          </w:tcPr>
          <w:p w14:paraId="2A74D982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示范作用</w:t>
            </w:r>
          </w:p>
        </w:tc>
        <w:tc>
          <w:tcPr>
            <w:tcW w:w="4725" w:type="dxa"/>
            <w:vAlign w:val="center"/>
          </w:tcPr>
          <w:p w14:paraId="5FC914EF">
            <w:pPr>
              <w:snapToGrid w:val="0"/>
              <w:rPr>
                <w:rFonts w:ascii="宋体" w:hAnsi="宋体" w:cs="仿宋_GB2312"/>
                <w:szCs w:val="24"/>
              </w:rPr>
            </w:pPr>
            <w:r>
              <w:rPr>
                <w:rFonts w:hint="eastAsia" w:ascii="宋体" w:hAnsi="宋体" w:cs="仿宋_GB2312"/>
                <w:szCs w:val="24"/>
              </w:rPr>
              <w:t>课程思政</w:t>
            </w:r>
            <w:r>
              <w:rPr>
                <w:rFonts w:hint="eastAsia"/>
                <w:szCs w:val="24"/>
              </w:rPr>
              <w:t>教学理念、方法、手段及实施效果显著，具有一定的辐射和推广价值。</w:t>
            </w:r>
          </w:p>
        </w:tc>
        <w:tc>
          <w:tcPr>
            <w:tcW w:w="1408" w:type="dxa"/>
            <w:vAlign w:val="center"/>
          </w:tcPr>
          <w:p w14:paraId="40350451">
            <w:pPr>
              <w:jc w:val="center"/>
              <w:rPr>
                <w:rFonts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10分</w:t>
            </w:r>
          </w:p>
        </w:tc>
      </w:tr>
    </w:tbl>
    <w:p w14:paraId="5CB8DF7F">
      <w:pPr>
        <w:spacing w:line="20" w:lineRule="exact"/>
        <w:rPr>
          <w:rFonts w:eastAsia="仿宋"/>
        </w:rPr>
      </w:pPr>
    </w:p>
    <w:sectPr>
      <w:footerReference r:id="rId3" w:type="default"/>
      <w:pgSz w:w="11906" w:h="16838"/>
      <w:pgMar w:top="1984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16C1E">
    <w:pPr>
      <w:pStyle w:val="3"/>
      <w:tabs>
        <w:tab w:val="clear" w:pos="4153"/>
        <w:tab w:val="clear" w:pos="8306"/>
      </w:tabs>
      <w:jc w:val="center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Imag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085CD8">
                          <w:pPr>
                            <w:pStyle w:val="3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20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Image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l1uVLQAAAABQEAAA8AAAAAAAAA&#10;AQAgAAAAIgAAAGRycy9kb3ducmV2LnhtbFBLAQIUABQAAAAIAIdO4kBNji9KpwEAAGoDAAAOAAAA&#10;AAAAAAEAIAAAAB8BAABkcnMvZTJvRG9jLnhtbFBLBQYAAAAABgAGAFkBAAA4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085CD8">
                    <w:pPr>
                      <w:pStyle w:val="3"/>
                      <w:tabs>
                        <w:tab w:val="clear" w:pos="4153"/>
                        <w:tab w:val="clear" w:pos="8306"/>
                      </w:tabs>
                      <w:rPr>
                        <w:rFonts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20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  <w:p w14:paraId="622D720B">
    <w:pPr>
      <w:pStyle w:val="3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NotTrackFormatting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12F2"/>
    <w:rsid w:val="004446D5"/>
    <w:rsid w:val="005A00F9"/>
    <w:rsid w:val="00801927"/>
    <w:rsid w:val="009F34B6"/>
    <w:rsid w:val="00A012F2"/>
    <w:rsid w:val="00C8472E"/>
    <w:rsid w:val="05906B3B"/>
    <w:rsid w:val="06EC42C5"/>
    <w:rsid w:val="2F3F0955"/>
    <w:rsid w:val="41E8140B"/>
    <w:rsid w:val="686D5FFE"/>
    <w:rsid w:val="7A0B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805</Words>
  <Characters>827</Characters>
  <Lines>12</Lines>
  <Paragraphs>3</Paragraphs>
  <TotalTime>157361307</TotalTime>
  <ScaleCrop>false</ScaleCrop>
  <LinksUpToDate>false</LinksUpToDate>
  <CharactersWithSpaces>829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2023-09-19T05:49:00Z</dcterms:created>
  <dc:creator>俞峰</dc:creator>
  <cp:lastModifiedBy>冯天立</cp:lastModifiedBy>
  <cp:lastPrinted>2023-09-15T09:41:00Z</cp:lastPrinted>
  <dcterms:modified xsi:type="dcterms:W3CDTF">2025-04-21T02:29:59Z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b3f44ed619454521a3b09e8dd0698447_23</vt:lpwstr>
  </property>
  <property fmtid="{D5CDD505-2E9C-101B-9397-08002B2CF9AE}" pid="4" name="KSOTemplateDocerSaveRecord">
    <vt:lpwstr>eyJoZGlkIjoiOTc3OWM3MWEzMjkwZmIyODYyZmQ5NzFhZjIyYThhNDMiLCJ1c2VySWQiOiIxNjIxMzkwMjM1In0=</vt:lpwstr>
  </property>
</Properties>
</file>